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71"/>
        <w:gridCol w:w="4938"/>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55A88F66" w14:textId="62AAC3C1" w:rsidR="00A160B2" w:rsidRPr="00A160B2" w:rsidRDefault="00B94678" w:rsidP="006C3150">
            <w:pPr>
              <w:pStyle w:val="Heading1"/>
              <w:outlineLvl w:val="0"/>
              <w:rPr>
                <w:color w:val="0000FF"/>
                <w:szCs w:val="24"/>
              </w:rPr>
            </w:pPr>
            <w:r w:rsidRPr="00B94678">
              <w:t>GOVERNANCE, AUDIT, RISK MANAGEMENT AND STANDARDS COMMITTEE</w:t>
            </w:r>
            <w:r w:rsidR="00A160B2" w:rsidRPr="00A160B2">
              <w:rPr>
                <w:color w:val="0000FF"/>
              </w:rPr>
              <w:t xml:space="preserve"> </w:t>
            </w: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20597234" w:rsidR="00A160B2" w:rsidRDefault="00485910" w:rsidP="006C3150">
            <w:pPr>
              <w:pStyle w:val="Infotext"/>
              <w:rPr>
                <w:rFonts w:cs="Arial"/>
              </w:rPr>
            </w:pPr>
            <w:r>
              <w:rPr>
                <w:rFonts w:cs="Arial"/>
              </w:rPr>
              <w:t>2</w:t>
            </w:r>
            <w:r w:rsidR="00DD0388">
              <w:rPr>
                <w:rFonts w:cs="Arial"/>
              </w:rPr>
              <w:t>1</w:t>
            </w:r>
            <w:r>
              <w:rPr>
                <w:rFonts w:cs="Arial"/>
              </w:rPr>
              <w:t xml:space="preserve"> </w:t>
            </w:r>
            <w:r w:rsidR="00402658">
              <w:rPr>
                <w:rFonts w:cs="Arial"/>
              </w:rPr>
              <w:t>September</w:t>
            </w:r>
            <w:r>
              <w:rPr>
                <w:rFonts w:cs="Arial"/>
              </w:rPr>
              <w:t xml:space="preserve"> 2022</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6B6B972" w14:textId="46A44730" w:rsidR="00B94678" w:rsidRPr="00B94678" w:rsidRDefault="00B94678" w:rsidP="00B94678">
            <w:pPr>
              <w:pStyle w:val="Infotext"/>
              <w:rPr>
                <w:rFonts w:cs="Arial"/>
              </w:rPr>
            </w:pPr>
            <w:r w:rsidRPr="00B94678">
              <w:rPr>
                <w:rFonts w:cs="Arial"/>
                <w:b/>
              </w:rPr>
              <w:t>INFORMATION REPORT</w:t>
            </w:r>
          </w:p>
          <w:p w14:paraId="5914456E" w14:textId="7201E0FD" w:rsidR="00A160B2" w:rsidRDefault="000E14F4" w:rsidP="006C3150">
            <w:pPr>
              <w:pStyle w:val="Infotext"/>
              <w:rPr>
                <w:rFonts w:cs="Arial"/>
              </w:rPr>
            </w:pPr>
            <w:r w:rsidRPr="000E14F4">
              <w:rPr>
                <w:rFonts w:cs="Arial"/>
              </w:rPr>
              <w:t>Audit Progress Report 2021/22</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39439767" w:rsidR="00A160B2" w:rsidRDefault="00B94678" w:rsidP="006C3150">
            <w:pPr>
              <w:pStyle w:val="Infotext"/>
              <w:rPr>
                <w:rFonts w:cs="Arial"/>
              </w:rPr>
            </w:pPr>
            <w:r w:rsidRPr="00B94678">
              <w:rPr>
                <w:rFonts w:cs="Arial"/>
              </w:rPr>
              <w:t>Dawn Calvert, Director of Finance and Assurance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4E3163FF" w14:textId="0E9C59CA" w:rsidR="00A160B2" w:rsidRDefault="00A160B2" w:rsidP="006C3150">
            <w:pPr>
              <w:pStyle w:val="Infotext"/>
              <w:rPr>
                <w:rFonts w:cs="Arial"/>
              </w:rPr>
            </w:pPr>
            <w:r>
              <w:rPr>
                <w:rFonts w:cs="Arial"/>
              </w:rPr>
              <w:t>No</w:t>
            </w:r>
          </w:p>
          <w:p w14:paraId="4C873B59" w14:textId="77777777" w:rsidR="00A160B2" w:rsidRDefault="00A160B2" w:rsidP="00B94678">
            <w:pPr>
              <w:pStyle w:val="Infotext"/>
              <w:rPr>
                <w:rFonts w:cs="Arial"/>
              </w:rPr>
            </w:pPr>
          </w:p>
        </w:tc>
      </w:tr>
      <w:tr w:rsidR="00A160B2" w14:paraId="521D9222" w14:textId="77777777" w:rsidTr="006C3150">
        <w:tc>
          <w:tcPr>
            <w:tcW w:w="3456" w:type="dxa"/>
          </w:tcPr>
          <w:p w14:paraId="65A16444" w14:textId="2B03A68F" w:rsidR="00A160B2" w:rsidRPr="00F92398" w:rsidRDefault="00A160B2" w:rsidP="006C3150">
            <w:pPr>
              <w:pStyle w:val="Infotext"/>
              <w:rPr>
                <w:rFonts w:ascii="Arial Black" w:hAnsi="Arial Black" w:cs="Arial"/>
              </w:rPr>
            </w:pPr>
            <w:r>
              <w:rPr>
                <w:rFonts w:ascii="Arial Black" w:hAnsi="Arial Black" w:cs="Arial"/>
              </w:rPr>
              <w:t>Wards affected:</w:t>
            </w:r>
          </w:p>
        </w:tc>
        <w:tc>
          <w:tcPr>
            <w:tcW w:w="5054" w:type="dxa"/>
          </w:tcPr>
          <w:p w14:paraId="6CD568AC" w14:textId="2DFF0230" w:rsidR="00A160B2" w:rsidRDefault="00B94678" w:rsidP="006C3150">
            <w:pPr>
              <w:pStyle w:val="Infotext"/>
            </w:pPr>
            <w:r>
              <w:rPr>
                <w:rFonts w:cs="Arial"/>
                <w:szCs w:val="24"/>
              </w:rPr>
              <w:t>All</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4C232B02" w14:textId="7D6D45B4" w:rsidR="00A160B2" w:rsidRDefault="000E14F4" w:rsidP="006C3150">
            <w:pPr>
              <w:pStyle w:val="Infotext"/>
            </w:pPr>
            <w:r w:rsidRPr="000E14F4">
              <w:t>Audit Progress Report 2021/22</w:t>
            </w:r>
          </w:p>
        </w:tc>
      </w:tr>
      <w:tr w:rsidR="00A160B2" w14:paraId="576A8326" w14:textId="77777777" w:rsidTr="006C3150">
        <w:tc>
          <w:tcPr>
            <w:tcW w:w="3456" w:type="dxa"/>
          </w:tcPr>
          <w:p w14:paraId="07363398" w14:textId="77777777" w:rsidR="00A160B2" w:rsidRDefault="00A160B2" w:rsidP="006C3150">
            <w:pPr>
              <w:pStyle w:val="Infotext"/>
              <w:rPr>
                <w:rFonts w:ascii="Arial Black" w:hAnsi="Arial Black" w:cs="Arial"/>
              </w:rPr>
            </w:pPr>
          </w:p>
          <w:p w14:paraId="76697897" w14:textId="77777777" w:rsidR="000E14F4" w:rsidRDefault="000E14F4" w:rsidP="006C3150">
            <w:pPr>
              <w:pStyle w:val="Infotext"/>
              <w:rPr>
                <w:rFonts w:ascii="Arial Black" w:hAnsi="Arial Black" w:cs="Arial"/>
              </w:rPr>
            </w:pPr>
          </w:p>
          <w:p w14:paraId="1E7ECF83" w14:textId="77777777" w:rsidR="000E14F4" w:rsidRDefault="000E14F4" w:rsidP="006C3150">
            <w:pPr>
              <w:pStyle w:val="Infotext"/>
              <w:rPr>
                <w:rFonts w:ascii="Arial Black" w:hAnsi="Arial Black" w:cs="Arial"/>
              </w:rPr>
            </w:pPr>
          </w:p>
          <w:p w14:paraId="4342EC2F" w14:textId="77777777" w:rsidR="000E14F4" w:rsidRDefault="000E14F4" w:rsidP="006C3150">
            <w:pPr>
              <w:pStyle w:val="Infotext"/>
              <w:rPr>
                <w:rFonts w:ascii="Arial Black" w:hAnsi="Arial Black" w:cs="Arial"/>
              </w:rPr>
            </w:pPr>
          </w:p>
          <w:p w14:paraId="083D62A1" w14:textId="01EB8466" w:rsidR="000E14F4" w:rsidRPr="00F92398" w:rsidRDefault="000E14F4"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77777777"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6C3150">
        <w:trPr>
          <w:tblHeader/>
        </w:trPr>
        <w:tc>
          <w:tcPr>
            <w:tcW w:w="8525" w:type="dxa"/>
            <w:tcBorders>
              <w:top w:val="nil"/>
              <w:left w:val="nil"/>
              <w:bottom w:val="single" w:sz="4" w:space="0" w:color="auto"/>
              <w:right w:val="nil"/>
            </w:tcBorders>
          </w:tcPr>
          <w:p w14:paraId="47AF8288" w14:textId="77777777" w:rsidR="00A160B2" w:rsidRDefault="00A160B2" w:rsidP="00912904">
            <w:pPr>
              <w:pStyle w:val="Heading2"/>
              <w:spacing w:before="240" w:after="240"/>
            </w:pPr>
            <w:r>
              <w:lastRenderedPageBreak/>
              <w:t>Section 1 – Summary and Recommendations</w:t>
            </w:r>
          </w:p>
        </w:tc>
      </w:tr>
      <w:tr w:rsidR="00384ACC" w14:paraId="281F4D12" w14:textId="77777777" w:rsidTr="006C3150">
        <w:trPr>
          <w:tblHeader/>
        </w:trPr>
        <w:tc>
          <w:tcPr>
            <w:tcW w:w="8525" w:type="dxa"/>
            <w:tcBorders>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3"/>
            </w:tblGrid>
            <w:tr w:rsidR="00384ACC" w:rsidRPr="00422173" w14:paraId="30FEC8CF" w14:textId="77777777" w:rsidTr="008D4BFD">
              <w:tc>
                <w:tcPr>
                  <w:tcW w:w="8525" w:type="dxa"/>
                </w:tcPr>
                <w:p w14:paraId="1183151D" w14:textId="77777777" w:rsidR="00384ACC" w:rsidRPr="00422173" w:rsidRDefault="00384ACC" w:rsidP="008D4BFD"/>
                <w:p w14:paraId="2AE30D36" w14:textId="1674C5BE" w:rsidR="00384ACC" w:rsidRPr="00422173" w:rsidRDefault="00384ACC" w:rsidP="00384ACC">
                  <w:r w:rsidRPr="00422173">
                    <w:t xml:space="preserve">This report provides the Committee with an </w:t>
                  </w:r>
                  <w:r w:rsidR="000E14F4">
                    <w:t xml:space="preserve">update on the progress of the </w:t>
                  </w:r>
                  <w:r w:rsidR="00BC5425">
                    <w:t xml:space="preserve">2021/22 external </w:t>
                  </w:r>
                  <w:r w:rsidR="000E14F4">
                    <w:t>audit</w:t>
                  </w:r>
                  <w:r>
                    <w:t>.</w:t>
                  </w:r>
                </w:p>
                <w:p w14:paraId="637E8D3B" w14:textId="16DD0170" w:rsidR="00384ACC" w:rsidRPr="00422173" w:rsidRDefault="00384ACC" w:rsidP="008D4BFD">
                  <w:pPr>
                    <w:pStyle w:val="Heading2"/>
                  </w:pPr>
                  <w:r>
                    <w:t>Recommendations:</w:t>
                  </w:r>
                </w:p>
                <w:p w14:paraId="08FD0E9E" w14:textId="7CD6E728" w:rsidR="00384ACC" w:rsidRPr="00422173" w:rsidRDefault="009E0147" w:rsidP="008D4BFD">
                  <w:pPr>
                    <w:pStyle w:val="BodyText3"/>
                    <w:rPr>
                      <w:bCs/>
                      <w:sz w:val="24"/>
                      <w:szCs w:val="24"/>
                    </w:rPr>
                  </w:pPr>
                  <w:r>
                    <w:rPr>
                      <w:bCs/>
                      <w:sz w:val="24"/>
                      <w:szCs w:val="24"/>
                    </w:rPr>
                    <w:t>The Committee is requested</w:t>
                  </w:r>
                  <w:r w:rsidR="00384ACC" w:rsidRPr="00422173">
                    <w:rPr>
                      <w:bCs/>
                      <w:sz w:val="24"/>
                      <w:szCs w:val="24"/>
                    </w:rPr>
                    <w:t xml:space="preserve"> to note the attached </w:t>
                  </w:r>
                  <w:r w:rsidR="000E14F4" w:rsidRPr="000E14F4">
                    <w:rPr>
                      <w:bCs/>
                      <w:sz w:val="24"/>
                      <w:szCs w:val="24"/>
                    </w:rPr>
                    <w:t>Audit Progress Report 2021/22</w:t>
                  </w:r>
                  <w:r>
                    <w:rPr>
                      <w:bCs/>
                      <w:sz w:val="24"/>
                      <w:szCs w:val="24"/>
                    </w:rPr>
                    <w:t xml:space="preserve"> for the</w:t>
                  </w:r>
                  <w:r w:rsidR="00384ACC" w:rsidRPr="00422173">
                    <w:rPr>
                      <w:bCs/>
                      <w:sz w:val="24"/>
                      <w:szCs w:val="24"/>
                    </w:rPr>
                    <w:t xml:space="preserve"> Council and the Pens</w:t>
                  </w:r>
                  <w:r>
                    <w:rPr>
                      <w:bCs/>
                      <w:sz w:val="24"/>
                      <w:szCs w:val="24"/>
                    </w:rPr>
                    <w:t>ion Fund.</w:t>
                  </w:r>
                  <w:r w:rsidR="00384ACC" w:rsidRPr="00422173">
                    <w:rPr>
                      <w:bCs/>
                      <w:sz w:val="24"/>
                      <w:szCs w:val="24"/>
                    </w:rPr>
                    <w:t xml:space="preserve"> </w:t>
                  </w:r>
                </w:p>
                <w:p w14:paraId="6F267260" w14:textId="77777777" w:rsidR="00384ACC" w:rsidRPr="00422173" w:rsidRDefault="00384ACC" w:rsidP="008D4BFD">
                  <w:pPr>
                    <w:jc w:val="both"/>
                    <w:rPr>
                      <w:rFonts w:cs="Arial"/>
                    </w:rPr>
                  </w:pPr>
                </w:p>
              </w:tc>
            </w:tr>
          </w:tbl>
          <w:p w14:paraId="714CBDEE" w14:textId="11B4DDB2" w:rsidR="00384ACC" w:rsidRDefault="00384ACC" w:rsidP="00A160B2"/>
        </w:tc>
      </w:tr>
    </w:tbl>
    <w:p w14:paraId="53DC7DE2" w14:textId="77777777" w:rsidR="002A2389" w:rsidRDefault="002A2389" w:rsidP="00A160B2">
      <w:pPr>
        <w:pStyle w:val="Heading2"/>
      </w:pPr>
      <w:r>
        <w:t>Section 2 – Report</w:t>
      </w:r>
    </w:p>
    <w:p w14:paraId="111D8D96" w14:textId="77777777" w:rsidR="00384ACC" w:rsidRPr="00384ACC" w:rsidRDefault="00384ACC" w:rsidP="00384ACC">
      <w:pPr>
        <w:pStyle w:val="Heading2"/>
      </w:pPr>
      <w:r w:rsidRPr="00384ACC">
        <w:t>Background</w:t>
      </w:r>
    </w:p>
    <w:p w14:paraId="27B9C40C" w14:textId="77777777" w:rsidR="000E14F4" w:rsidRDefault="000E14F4" w:rsidP="00384ACC">
      <w:pPr>
        <w:spacing w:before="120"/>
        <w:rPr>
          <w:rFonts w:cs="Arial"/>
          <w:szCs w:val="24"/>
          <w:u w:val="single"/>
        </w:rPr>
      </w:pPr>
      <w:r w:rsidRPr="000E14F4">
        <w:rPr>
          <w:rFonts w:cs="Arial"/>
          <w:szCs w:val="24"/>
          <w:u w:val="single"/>
        </w:rPr>
        <w:t>Audit Progress Report 2021/22</w:t>
      </w:r>
    </w:p>
    <w:p w14:paraId="76C2876A" w14:textId="0949A8B3" w:rsidR="000E14F4" w:rsidRDefault="00384ACC" w:rsidP="000E14F4">
      <w:pPr>
        <w:spacing w:before="120"/>
        <w:rPr>
          <w:rFonts w:cs="Arial"/>
          <w:szCs w:val="24"/>
        </w:rPr>
      </w:pPr>
      <w:r w:rsidRPr="00384ACC">
        <w:rPr>
          <w:rFonts w:cs="Arial"/>
          <w:szCs w:val="24"/>
        </w:rPr>
        <w:t xml:space="preserve">1. The </w:t>
      </w:r>
      <w:r w:rsidR="000E14F4">
        <w:rPr>
          <w:rFonts w:cs="Arial"/>
          <w:szCs w:val="24"/>
        </w:rPr>
        <w:t xml:space="preserve">Audit Progress report 2021/22 was prepared to </w:t>
      </w:r>
      <w:r w:rsidR="000E14F4" w:rsidRPr="000E14F4">
        <w:rPr>
          <w:rFonts w:cs="Arial"/>
          <w:szCs w:val="24"/>
        </w:rPr>
        <w:t xml:space="preserve">communicate the progress </w:t>
      </w:r>
      <w:r w:rsidR="00397EA1">
        <w:rPr>
          <w:rFonts w:cs="Arial"/>
          <w:szCs w:val="24"/>
        </w:rPr>
        <w:t xml:space="preserve">made </w:t>
      </w:r>
      <w:r w:rsidR="000E14F4" w:rsidRPr="000E14F4">
        <w:rPr>
          <w:rFonts w:cs="Arial"/>
          <w:szCs w:val="24"/>
        </w:rPr>
        <w:t>with</w:t>
      </w:r>
      <w:r w:rsidR="000E14F4">
        <w:rPr>
          <w:rFonts w:cs="Arial"/>
          <w:szCs w:val="24"/>
        </w:rPr>
        <w:t xml:space="preserve"> </w:t>
      </w:r>
      <w:r w:rsidR="000E14F4" w:rsidRPr="000E14F4">
        <w:rPr>
          <w:rFonts w:cs="Arial"/>
          <w:szCs w:val="24"/>
        </w:rPr>
        <w:t>auditing the Council’s statement of accounts for the year ending 31 March 2022 and an update on the significant risks identified in relation to the</w:t>
      </w:r>
      <w:r w:rsidR="000E14F4">
        <w:rPr>
          <w:rFonts w:cs="Arial"/>
          <w:szCs w:val="24"/>
        </w:rPr>
        <w:t xml:space="preserve"> </w:t>
      </w:r>
      <w:r w:rsidR="000E14F4" w:rsidRPr="000E14F4">
        <w:rPr>
          <w:rFonts w:cs="Arial"/>
          <w:szCs w:val="24"/>
        </w:rPr>
        <w:t>audit of both the Council and Pension Fund financial statements.</w:t>
      </w:r>
      <w:r w:rsidRPr="00384ACC">
        <w:rPr>
          <w:rFonts w:cs="Arial"/>
          <w:szCs w:val="24"/>
        </w:rPr>
        <w:t xml:space="preserve"> </w:t>
      </w:r>
    </w:p>
    <w:p w14:paraId="5E47EE21" w14:textId="1D474A31" w:rsidR="00163EEA" w:rsidRPr="002B0471" w:rsidRDefault="00163EEA" w:rsidP="000E14F4">
      <w:pPr>
        <w:spacing w:before="120"/>
        <w:rPr>
          <w:rFonts w:cs="Arial"/>
          <w:szCs w:val="24"/>
        </w:rPr>
      </w:pPr>
      <w:r w:rsidRPr="002B0471">
        <w:rPr>
          <w:rFonts w:cs="Arial"/>
          <w:szCs w:val="24"/>
        </w:rPr>
        <w:t>Audit update for the Council:</w:t>
      </w:r>
    </w:p>
    <w:p w14:paraId="52F5EC87" w14:textId="2D0573D3" w:rsidR="00163EEA" w:rsidRPr="002B0471" w:rsidRDefault="00163EEA" w:rsidP="002B0471">
      <w:pPr>
        <w:pStyle w:val="ListParagraph"/>
        <w:numPr>
          <w:ilvl w:val="0"/>
          <w:numId w:val="23"/>
        </w:numPr>
        <w:spacing w:before="120"/>
        <w:rPr>
          <w:sz w:val="24"/>
          <w:szCs w:val="24"/>
        </w:rPr>
      </w:pPr>
      <w:r w:rsidRPr="002B0471">
        <w:rPr>
          <w:sz w:val="24"/>
          <w:szCs w:val="24"/>
        </w:rPr>
        <w:t>Planning work now completed</w:t>
      </w:r>
    </w:p>
    <w:p w14:paraId="4539433D" w14:textId="4C2BEDF8" w:rsidR="00163EEA" w:rsidRPr="002B0471" w:rsidRDefault="00163EEA" w:rsidP="002B0471">
      <w:pPr>
        <w:pStyle w:val="ListParagraph"/>
        <w:numPr>
          <w:ilvl w:val="0"/>
          <w:numId w:val="23"/>
        </w:numPr>
        <w:spacing w:before="120"/>
        <w:rPr>
          <w:sz w:val="24"/>
          <w:szCs w:val="24"/>
        </w:rPr>
      </w:pPr>
      <w:r w:rsidRPr="002B0471">
        <w:rPr>
          <w:sz w:val="24"/>
          <w:szCs w:val="24"/>
        </w:rPr>
        <w:t>Following receipt of the Council’s draft financial statements, work is now being done to complete audit procedures</w:t>
      </w:r>
    </w:p>
    <w:p w14:paraId="4C551750" w14:textId="657FFE95" w:rsidR="00163EEA" w:rsidRPr="002B0471" w:rsidRDefault="00163EEA" w:rsidP="002B0471">
      <w:pPr>
        <w:pStyle w:val="ListParagraph"/>
        <w:numPr>
          <w:ilvl w:val="0"/>
          <w:numId w:val="23"/>
        </w:numPr>
        <w:spacing w:before="120"/>
        <w:rPr>
          <w:sz w:val="24"/>
          <w:szCs w:val="24"/>
        </w:rPr>
      </w:pPr>
      <w:r w:rsidRPr="002B0471">
        <w:rPr>
          <w:sz w:val="24"/>
          <w:szCs w:val="24"/>
        </w:rPr>
        <w:t>Due to systems</w:t>
      </w:r>
      <w:r w:rsidR="002A0812" w:rsidRPr="002B0471">
        <w:rPr>
          <w:sz w:val="24"/>
          <w:szCs w:val="24"/>
        </w:rPr>
        <w:t xml:space="preserve"> constraints</w:t>
      </w:r>
      <w:r w:rsidRPr="002B0471">
        <w:rPr>
          <w:sz w:val="24"/>
          <w:szCs w:val="24"/>
        </w:rPr>
        <w:t xml:space="preserve">, </w:t>
      </w:r>
      <w:r w:rsidR="00E20BE7">
        <w:rPr>
          <w:sz w:val="24"/>
          <w:szCs w:val="24"/>
        </w:rPr>
        <w:t xml:space="preserve">there was a delay in providing </w:t>
      </w:r>
      <w:r w:rsidR="006123B2" w:rsidRPr="002B0471">
        <w:rPr>
          <w:sz w:val="24"/>
          <w:szCs w:val="24"/>
        </w:rPr>
        <w:t>detailed information from the ledger</w:t>
      </w:r>
      <w:r w:rsidR="00E20BE7">
        <w:rPr>
          <w:sz w:val="24"/>
          <w:szCs w:val="24"/>
        </w:rPr>
        <w:t>. However, th</w:t>
      </w:r>
      <w:r w:rsidR="006123B2" w:rsidRPr="002B0471">
        <w:rPr>
          <w:sz w:val="24"/>
          <w:szCs w:val="24"/>
        </w:rPr>
        <w:t>is has</w:t>
      </w:r>
      <w:r w:rsidR="00E20BE7">
        <w:rPr>
          <w:sz w:val="24"/>
          <w:szCs w:val="24"/>
        </w:rPr>
        <w:t xml:space="preserve"> now</w:t>
      </w:r>
      <w:r w:rsidR="006123B2" w:rsidRPr="002B0471">
        <w:rPr>
          <w:sz w:val="24"/>
          <w:szCs w:val="24"/>
        </w:rPr>
        <w:t xml:space="preserve"> been </w:t>
      </w:r>
      <w:r w:rsidR="00402658">
        <w:rPr>
          <w:sz w:val="24"/>
          <w:szCs w:val="24"/>
        </w:rPr>
        <w:t>provided</w:t>
      </w:r>
      <w:r w:rsidR="006123B2" w:rsidRPr="002B0471">
        <w:rPr>
          <w:sz w:val="24"/>
          <w:szCs w:val="24"/>
        </w:rPr>
        <w:t>.</w:t>
      </w:r>
    </w:p>
    <w:p w14:paraId="6CCEAACD" w14:textId="77777777" w:rsidR="00E1248A" w:rsidRDefault="001C2750" w:rsidP="00716A76">
      <w:pPr>
        <w:spacing w:before="120"/>
        <w:rPr>
          <w:szCs w:val="24"/>
        </w:rPr>
      </w:pPr>
      <w:r w:rsidRPr="001C2750">
        <w:rPr>
          <w:szCs w:val="24"/>
        </w:rPr>
        <w:t xml:space="preserve">Following receipt of the draft financial statements, initial audit review identified two significant changes within the balance sheet when compared to 2020/21 which therefore requires an update to the significant risks reported in the Audit Strategy Memorandum presented to GARMS on 2 </w:t>
      </w:r>
      <w:proofErr w:type="gramStart"/>
      <w:r w:rsidRPr="001C2750">
        <w:rPr>
          <w:szCs w:val="24"/>
        </w:rPr>
        <w:t>August :</w:t>
      </w:r>
      <w:proofErr w:type="gramEnd"/>
    </w:p>
    <w:p w14:paraId="0B9E8EE0" w14:textId="4F7B5B34" w:rsidR="006123B2" w:rsidRPr="001C2750" w:rsidRDefault="006123B2" w:rsidP="00E1248A">
      <w:pPr>
        <w:pStyle w:val="ListParagraph"/>
        <w:numPr>
          <w:ilvl w:val="0"/>
          <w:numId w:val="23"/>
        </w:numPr>
        <w:spacing w:before="120"/>
        <w:rPr>
          <w:sz w:val="24"/>
          <w:szCs w:val="24"/>
        </w:rPr>
      </w:pPr>
      <w:r w:rsidRPr="001C2750">
        <w:rPr>
          <w:sz w:val="24"/>
          <w:szCs w:val="24"/>
        </w:rPr>
        <w:t>A new material value for intangible assets ha</w:t>
      </w:r>
      <w:r w:rsidR="00E20BE7" w:rsidRPr="001C2750">
        <w:rPr>
          <w:sz w:val="24"/>
          <w:szCs w:val="24"/>
        </w:rPr>
        <w:t>s</w:t>
      </w:r>
      <w:r w:rsidRPr="001C2750">
        <w:rPr>
          <w:sz w:val="24"/>
          <w:szCs w:val="24"/>
        </w:rPr>
        <w:t xml:space="preserve"> been identified for the 2021-22 audit</w:t>
      </w:r>
    </w:p>
    <w:p w14:paraId="60EEBDD0" w14:textId="6F5D6CAE" w:rsidR="006123B2" w:rsidRPr="002B0471" w:rsidRDefault="006123B2" w:rsidP="002B0471">
      <w:pPr>
        <w:pStyle w:val="ListParagraph"/>
        <w:numPr>
          <w:ilvl w:val="0"/>
          <w:numId w:val="23"/>
        </w:numPr>
        <w:spacing w:before="120"/>
        <w:rPr>
          <w:sz w:val="24"/>
          <w:szCs w:val="24"/>
        </w:rPr>
      </w:pPr>
      <w:r w:rsidRPr="002B0471">
        <w:rPr>
          <w:sz w:val="24"/>
          <w:szCs w:val="24"/>
        </w:rPr>
        <w:t>A new material value for inventory ha</w:t>
      </w:r>
      <w:r w:rsidR="00E20BE7">
        <w:rPr>
          <w:sz w:val="24"/>
          <w:szCs w:val="24"/>
        </w:rPr>
        <w:t>s</w:t>
      </w:r>
      <w:r w:rsidRPr="002B0471">
        <w:rPr>
          <w:sz w:val="24"/>
          <w:szCs w:val="24"/>
        </w:rPr>
        <w:t xml:space="preserve"> </w:t>
      </w:r>
      <w:r w:rsidR="00397EA1">
        <w:rPr>
          <w:sz w:val="24"/>
          <w:szCs w:val="24"/>
        </w:rPr>
        <w:t xml:space="preserve">been </w:t>
      </w:r>
      <w:r w:rsidRPr="002B0471">
        <w:rPr>
          <w:sz w:val="24"/>
          <w:szCs w:val="24"/>
        </w:rPr>
        <w:t>identified for the 2021-22 audit</w:t>
      </w:r>
    </w:p>
    <w:p w14:paraId="0C5ACCBA" w14:textId="77777777" w:rsidR="006123B2" w:rsidRPr="00F51909" w:rsidRDefault="006123B2" w:rsidP="006123B2">
      <w:pPr>
        <w:spacing w:before="120"/>
        <w:rPr>
          <w:szCs w:val="24"/>
        </w:rPr>
      </w:pPr>
      <w:r w:rsidRPr="00F51909">
        <w:rPr>
          <w:szCs w:val="24"/>
        </w:rPr>
        <w:t>Value for Money (VFM)</w:t>
      </w:r>
    </w:p>
    <w:p w14:paraId="126CBEA2" w14:textId="2297965E" w:rsidR="006123B2" w:rsidRPr="00F51909" w:rsidRDefault="006123B2" w:rsidP="006123B2">
      <w:pPr>
        <w:spacing w:before="120"/>
        <w:rPr>
          <w:szCs w:val="24"/>
        </w:rPr>
      </w:pPr>
      <w:r w:rsidRPr="00F51909">
        <w:rPr>
          <w:szCs w:val="24"/>
        </w:rPr>
        <w:t>Update on auditor responsibilities relating to 2020/21</w:t>
      </w:r>
    </w:p>
    <w:p w14:paraId="70DA1621" w14:textId="724E733B" w:rsidR="006123B2" w:rsidRPr="00F51909" w:rsidRDefault="006123B2" w:rsidP="002B0471">
      <w:pPr>
        <w:pStyle w:val="ListParagraph"/>
        <w:numPr>
          <w:ilvl w:val="0"/>
          <w:numId w:val="23"/>
        </w:numPr>
        <w:spacing w:before="120"/>
        <w:rPr>
          <w:sz w:val="24"/>
          <w:szCs w:val="24"/>
        </w:rPr>
      </w:pPr>
      <w:r w:rsidRPr="00F51909">
        <w:rPr>
          <w:sz w:val="24"/>
          <w:szCs w:val="24"/>
        </w:rPr>
        <w:t xml:space="preserve">Due to an ongoing Police criminal investigation, the auditors have been unable to conclude on </w:t>
      </w:r>
      <w:r w:rsidR="000A0671" w:rsidRPr="00F51909">
        <w:rPr>
          <w:sz w:val="24"/>
          <w:szCs w:val="24"/>
        </w:rPr>
        <w:t>the</w:t>
      </w:r>
      <w:r w:rsidRPr="00F51909">
        <w:rPr>
          <w:sz w:val="24"/>
          <w:szCs w:val="24"/>
        </w:rPr>
        <w:t xml:space="preserve"> review of the Council’s Value for Money arrangements for the 2020/21 financial period. They will not be able to conclude on the Council’s value for money arrangements for the </w:t>
      </w:r>
      <w:r w:rsidRPr="00F51909">
        <w:rPr>
          <w:sz w:val="24"/>
          <w:szCs w:val="24"/>
        </w:rPr>
        <w:lastRenderedPageBreak/>
        <w:t>2020/21 financial period until the Police investigation, and any resultant actions, are complete.</w:t>
      </w:r>
    </w:p>
    <w:p w14:paraId="798FE28D" w14:textId="1E5F5A72" w:rsidR="006123B2" w:rsidRPr="002B0471" w:rsidRDefault="006123B2" w:rsidP="006123B2">
      <w:pPr>
        <w:spacing w:before="120"/>
        <w:rPr>
          <w:szCs w:val="24"/>
        </w:rPr>
      </w:pPr>
      <w:r w:rsidRPr="002B0471">
        <w:rPr>
          <w:szCs w:val="24"/>
        </w:rPr>
        <w:t>Update on auditor responsibilities relating to 2021/22</w:t>
      </w:r>
    </w:p>
    <w:p w14:paraId="011BEE56" w14:textId="7A913AB9" w:rsidR="006123B2" w:rsidRPr="002B0471" w:rsidRDefault="006123B2" w:rsidP="002B0471">
      <w:pPr>
        <w:pStyle w:val="ListParagraph"/>
        <w:numPr>
          <w:ilvl w:val="0"/>
          <w:numId w:val="23"/>
        </w:numPr>
        <w:spacing w:before="120"/>
        <w:rPr>
          <w:sz w:val="24"/>
          <w:szCs w:val="24"/>
        </w:rPr>
      </w:pPr>
      <w:r w:rsidRPr="002B0471">
        <w:rPr>
          <w:sz w:val="24"/>
          <w:szCs w:val="24"/>
        </w:rPr>
        <w:t xml:space="preserve">The auditors have completed </w:t>
      </w:r>
      <w:r w:rsidR="00397EA1">
        <w:rPr>
          <w:sz w:val="24"/>
          <w:szCs w:val="24"/>
        </w:rPr>
        <w:t>their</w:t>
      </w:r>
      <w:r w:rsidRPr="002B0471">
        <w:rPr>
          <w:sz w:val="24"/>
          <w:szCs w:val="24"/>
        </w:rPr>
        <w:t xml:space="preserve"> initial risk assessment of the Council’s Value for Money arrangements and, at this stage, have no additional issues that need to </w:t>
      </w:r>
      <w:r w:rsidR="0022626C">
        <w:rPr>
          <w:sz w:val="24"/>
          <w:szCs w:val="24"/>
        </w:rPr>
        <w:t>be brought</w:t>
      </w:r>
      <w:r w:rsidRPr="002B0471">
        <w:rPr>
          <w:sz w:val="24"/>
          <w:szCs w:val="24"/>
        </w:rPr>
        <w:t xml:space="preserve"> to the attention of the Committee.</w:t>
      </w:r>
    </w:p>
    <w:p w14:paraId="528004DD" w14:textId="4BF73919" w:rsidR="006123B2" w:rsidRPr="002B0471" w:rsidRDefault="006123B2" w:rsidP="006123B2">
      <w:pPr>
        <w:spacing w:before="120"/>
        <w:rPr>
          <w:szCs w:val="24"/>
        </w:rPr>
      </w:pPr>
      <w:r w:rsidRPr="002B0471">
        <w:rPr>
          <w:szCs w:val="24"/>
        </w:rPr>
        <w:t>London Borough of Harrow Pension Fund –Audit Progress Update</w:t>
      </w:r>
    </w:p>
    <w:p w14:paraId="763E0B58" w14:textId="29C33398" w:rsidR="006123B2" w:rsidRPr="002B0471" w:rsidRDefault="006123B2" w:rsidP="006123B2">
      <w:pPr>
        <w:spacing w:before="120"/>
        <w:rPr>
          <w:szCs w:val="24"/>
        </w:rPr>
      </w:pPr>
      <w:r w:rsidRPr="002B0471">
        <w:rPr>
          <w:szCs w:val="24"/>
        </w:rPr>
        <w:t xml:space="preserve">To date </w:t>
      </w:r>
      <w:r w:rsidR="002A0812" w:rsidRPr="002B0471">
        <w:rPr>
          <w:szCs w:val="24"/>
        </w:rPr>
        <w:t xml:space="preserve">the </w:t>
      </w:r>
      <w:proofErr w:type="gramStart"/>
      <w:r w:rsidR="002A0812" w:rsidRPr="002B0471">
        <w:rPr>
          <w:szCs w:val="24"/>
        </w:rPr>
        <w:t>auditors</w:t>
      </w:r>
      <w:proofErr w:type="gramEnd"/>
      <w:r w:rsidRPr="002B0471">
        <w:rPr>
          <w:szCs w:val="24"/>
        </w:rPr>
        <w:t xml:space="preserve"> have:</w:t>
      </w:r>
    </w:p>
    <w:p w14:paraId="4546262E" w14:textId="586B0387" w:rsidR="006123B2" w:rsidRPr="002B0471" w:rsidRDefault="006123B2" w:rsidP="002B0471">
      <w:pPr>
        <w:pStyle w:val="ListParagraph"/>
        <w:numPr>
          <w:ilvl w:val="0"/>
          <w:numId w:val="23"/>
        </w:numPr>
        <w:spacing w:before="120"/>
        <w:rPr>
          <w:sz w:val="24"/>
          <w:szCs w:val="24"/>
        </w:rPr>
      </w:pPr>
      <w:r w:rsidRPr="002B0471">
        <w:rPr>
          <w:sz w:val="24"/>
          <w:szCs w:val="24"/>
        </w:rPr>
        <w:t>Completed planning work for the Pension Fund.</w:t>
      </w:r>
    </w:p>
    <w:p w14:paraId="069880BA" w14:textId="77777777" w:rsidR="002A0812" w:rsidRPr="002B0471" w:rsidRDefault="006123B2" w:rsidP="002B0471">
      <w:pPr>
        <w:pStyle w:val="ListParagraph"/>
        <w:numPr>
          <w:ilvl w:val="0"/>
          <w:numId w:val="23"/>
        </w:numPr>
        <w:spacing w:before="120"/>
        <w:rPr>
          <w:sz w:val="24"/>
          <w:szCs w:val="24"/>
        </w:rPr>
      </w:pPr>
      <w:r w:rsidRPr="002B0471">
        <w:rPr>
          <w:sz w:val="24"/>
          <w:szCs w:val="24"/>
        </w:rPr>
        <w:t>Commenced, at the start of August 2022, the audit procedures on the data supporting the draft financial statements.</w:t>
      </w:r>
      <w:r w:rsidR="00384ACC" w:rsidRPr="002B0471">
        <w:rPr>
          <w:sz w:val="24"/>
          <w:szCs w:val="24"/>
        </w:rPr>
        <w:t xml:space="preserve">   </w:t>
      </w:r>
    </w:p>
    <w:p w14:paraId="53327D3E" w14:textId="169F30D7" w:rsidR="005D358F" w:rsidRPr="002B0471" w:rsidRDefault="00397EA1" w:rsidP="002A0812">
      <w:pPr>
        <w:spacing w:before="120"/>
        <w:rPr>
          <w:szCs w:val="24"/>
        </w:rPr>
      </w:pPr>
      <w:r>
        <w:rPr>
          <w:szCs w:val="24"/>
        </w:rPr>
        <w:t>There is a</w:t>
      </w:r>
      <w:r w:rsidR="006123B2" w:rsidRPr="002B0471">
        <w:rPr>
          <w:szCs w:val="24"/>
        </w:rPr>
        <w:t xml:space="preserve"> section </w:t>
      </w:r>
      <w:r w:rsidR="002A0812" w:rsidRPr="002B0471">
        <w:rPr>
          <w:szCs w:val="24"/>
        </w:rPr>
        <w:t>highlighting national publications and update.</w:t>
      </w:r>
    </w:p>
    <w:p w14:paraId="7EB352BC" w14:textId="77777777" w:rsidR="003D4EB4" w:rsidRPr="00384ACC" w:rsidRDefault="003D4EB4" w:rsidP="00384ACC">
      <w:pPr>
        <w:spacing w:before="120"/>
        <w:rPr>
          <w:rFonts w:cs="Arial"/>
          <w:szCs w:val="24"/>
        </w:rPr>
      </w:pPr>
    </w:p>
    <w:p w14:paraId="30AD9ADB" w14:textId="3B65D9CA" w:rsidR="00384ACC" w:rsidRPr="00384ACC" w:rsidRDefault="00384ACC" w:rsidP="00384ACC">
      <w:pPr>
        <w:spacing w:before="120"/>
        <w:rPr>
          <w:rFonts w:cs="Arial"/>
          <w:szCs w:val="24"/>
        </w:rPr>
      </w:pPr>
      <w:r w:rsidRPr="00384ACC">
        <w:rPr>
          <w:rFonts w:cs="Arial"/>
          <w:szCs w:val="24"/>
        </w:rPr>
        <w:t>2. The Committee is asked to consider the p</w:t>
      </w:r>
      <w:r w:rsidR="002A0812">
        <w:rPr>
          <w:rFonts w:cs="Arial"/>
          <w:szCs w:val="24"/>
        </w:rPr>
        <w:t>rogress made</w:t>
      </w:r>
      <w:r w:rsidR="00397EA1">
        <w:rPr>
          <w:rFonts w:cs="Arial"/>
          <w:szCs w:val="24"/>
        </w:rPr>
        <w:t xml:space="preserve"> and additional risks</w:t>
      </w:r>
      <w:r w:rsidRPr="00384ACC">
        <w:rPr>
          <w:rFonts w:cs="Arial"/>
          <w:szCs w:val="24"/>
        </w:rPr>
        <w:t>.</w:t>
      </w:r>
    </w:p>
    <w:p w14:paraId="3469E0D9" w14:textId="24EA92D6" w:rsidR="00213BE7" w:rsidRDefault="00213BE7" w:rsidP="003D4EB4">
      <w:pPr>
        <w:pStyle w:val="Heading2"/>
        <w:spacing w:before="240" w:after="240"/>
      </w:pPr>
      <w:r>
        <w:t>Legal Implications</w:t>
      </w:r>
    </w:p>
    <w:p w14:paraId="560FE88B" w14:textId="3B58FD4E" w:rsidR="0048404F" w:rsidRDefault="0048404F" w:rsidP="0048404F"/>
    <w:p w14:paraId="52DE8A5A" w14:textId="77777777" w:rsidR="0048404F" w:rsidRPr="0048404F" w:rsidRDefault="0048404F" w:rsidP="0059644A">
      <w:r w:rsidRPr="0048404F">
        <w:t xml:space="preserve">The Accounts and Audit (England) Regulations 2015, require Local Authorities to prepare Statement of Accounts in accordance with proper practices. Previous timetable deadlines have meant that the draft Statement of Accounts must be published by 31st May with the audited version being published by 31st July each year. Following the Coronavirus </w:t>
      </w:r>
      <w:proofErr w:type="gramStart"/>
      <w:r w:rsidRPr="0048404F">
        <w:t>pandemic</w:t>
      </w:r>
      <w:proofErr w:type="gramEnd"/>
      <w:r w:rsidRPr="0048404F">
        <w:t xml:space="preserve"> the legislative requirements have been relaxed and this has continued for 2021-22. The Accounts and Audit (Amendment) Regulations 2021 (SI 2021/263) have revised the deadlines to 31st July 2022 for the draft accounts and 30th November 2022 for the audited accounts.</w:t>
      </w:r>
    </w:p>
    <w:p w14:paraId="41BB405D" w14:textId="77777777" w:rsidR="002A2389" w:rsidRDefault="002A2389" w:rsidP="003D2FFE">
      <w:pPr>
        <w:pStyle w:val="Heading2"/>
        <w:spacing w:after="240"/>
      </w:pPr>
      <w:r>
        <w:t>Financial Implications</w:t>
      </w:r>
    </w:p>
    <w:p w14:paraId="54DA28C6" w14:textId="4776F857" w:rsidR="003D4EB4" w:rsidRPr="003D4EB4" w:rsidRDefault="003D4EB4" w:rsidP="003D4EB4">
      <w:r w:rsidRPr="003D4EB4">
        <w:t>There are no direct financial implications arising from this report.</w:t>
      </w:r>
    </w:p>
    <w:p w14:paraId="5ACE80EE" w14:textId="77777777" w:rsidR="00C32DAE" w:rsidRDefault="00C32DAE" w:rsidP="003D2FFE">
      <w:pPr>
        <w:pStyle w:val="Heading2"/>
        <w:spacing w:after="240"/>
      </w:pPr>
      <w:r>
        <w:t>Risk Management Implications</w:t>
      </w:r>
    </w:p>
    <w:p w14:paraId="7E703FFF" w14:textId="12172EC5" w:rsidR="00570F59" w:rsidRPr="00570F59" w:rsidRDefault="00570F59" w:rsidP="00570F59">
      <w:pPr>
        <w:ind w:left="555" w:right="75" w:hanging="555"/>
        <w:textAlignment w:val="baseline"/>
        <w:rPr>
          <w:rFonts w:ascii="Segoe UI" w:hAnsi="Segoe UI" w:cs="Segoe UI"/>
          <w:sz w:val="18"/>
          <w:szCs w:val="18"/>
          <w:lang w:eastAsia="en-GB"/>
        </w:rPr>
      </w:pPr>
    </w:p>
    <w:p w14:paraId="33541738" w14:textId="048BB0D2"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val="en-US" w:eastAsia="en-GB"/>
        </w:rPr>
        <w:t xml:space="preserve">Risks included on corporate or directorate risk </w:t>
      </w:r>
      <w:proofErr w:type="gramStart"/>
      <w:r w:rsidRPr="00570F59">
        <w:rPr>
          <w:rFonts w:cs="Arial"/>
          <w:szCs w:val="24"/>
          <w:lang w:val="en-US" w:eastAsia="en-GB"/>
        </w:rPr>
        <w:t>register?</w:t>
      </w:r>
      <w:proofErr w:type="gramEnd"/>
      <w:r w:rsidRPr="00570F59">
        <w:rPr>
          <w:rFonts w:cs="Arial"/>
          <w:szCs w:val="24"/>
          <w:lang w:val="en-US" w:eastAsia="en-GB"/>
        </w:rPr>
        <w:t> </w:t>
      </w:r>
      <w:r w:rsidRPr="00570F59">
        <w:rPr>
          <w:rFonts w:cs="Arial"/>
          <w:b/>
          <w:bCs/>
          <w:szCs w:val="24"/>
          <w:lang w:val="en-US" w:eastAsia="en-GB"/>
        </w:rPr>
        <w:t>No</w:t>
      </w:r>
    </w:p>
    <w:p w14:paraId="3C0B834E" w14:textId="77777777" w:rsidR="00570F59" w:rsidRPr="00570F59" w:rsidRDefault="00570F59" w:rsidP="00570F59">
      <w:pPr>
        <w:ind w:left="-150" w:right="135"/>
        <w:textAlignment w:val="baseline"/>
        <w:rPr>
          <w:rFonts w:ascii="Segoe UI" w:hAnsi="Segoe UI" w:cs="Segoe UI"/>
          <w:sz w:val="18"/>
          <w:szCs w:val="18"/>
          <w:lang w:eastAsia="en-GB"/>
        </w:rPr>
      </w:pPr>
      <w:r w:rsidRPr="00570F59">
        <w:rPr>
          <w:rFonts w:cs="Arial"/>
          <w:szCs w:val="24"/>
          <w:lang w:val="en-US" w:eastAsia="en-GB"/>
        </w:rPr>
        <w:t>  </w:t>
      </w:r>
      <w:r w:rsidRPr="00570F59">
        <w:rPr>
          <w:rFonts w:cs="Arial"/>
          <w:szCs w:val="24"/>
          <w:lang w:eastAsia="en-GB"/>
        </w:rPr>
        <w:t> </w:t>
      </w:r>
    </w:p>
    <w:p w14:paraId="20B91783" w14:textId="22962468" w:rsidR="00570F59" w:rsidRPr="00570F59" w:rsidRDefault="00570F59" w:rsidP="00570F59">
      <w:pPr>
        <w:ind w:left="-150" w:right="135" w:firstLine="135"/>
        <w:textAlignment w:val="baseline"/>
        <w:rPr>
          <w:rFonts w:ascii="Segoe UI" w:hAnsi="Segoe UI" w:cs="Segoe UI"/>
          <w:sz w:val="18"/>
          <w:szCs w:val="18"/>
          <w:lang w:eastAsia="en-GB"/>
        </w:rPr>
      </w:pPr>
      <w:r w:rsidRPr="00570F59">
        <w:rPr>
          <w:rFonts w:cs="Arial"/>
          <w:szCs w:val="24"/>
          <w:lang w:val="en-US" w:eastAsia="en-GB"/>
        </w:rPr>
        <w:t xml:space="preserve">Separate risk </w:t>
      </w:r>
      <w:proofErr w:type="gramStart"/>
      <w:r w:rsidRPr="00570F59">
        <w:rPr>
          <w:rFonts w:cs="Arial"/>
          <w:szCs w:val="24"/>
          <w:lang w:val="en-US" w:eastAsia="en-GB"/>
        </w:rPr>
        <w:t>register</w:t>
      </w:r>
      <w:proofErr w:type="gramEnd"/>
      <w:r w:rsidRPr="00570F59">
        <w:rPr>
          <w:rFonts w:cs="Arial"/>
          <w:szCs w:val="24"/>
          <w:lang w:val="en-US" w:eastAsia="en-GB"/>
        </w:rPr>
        <w:t xml:space="preserve"> in place? </w:t>
      </w:r>
      <w:r w:rsidRPr="00570F59">
        <w:rPr>
          <w:rFonts w:cs="Arial"/>
          <w:b/>
          <w:bCs/>
          <w:szCs w:val="24"/>
          <w:lang w:val="en-US" w:eastAsia="en-GB"/>
        </w:rPr>
        <w:t>No</w:t>
      </w:r>
    </w:p>
    <w:p w14:paraId="77C7BDB3" w14:textId="77777777" w:rsidR="00570F59" w:rsidRPr="00570F59" w:rsidRDefault="00570F59" w:rsidP="00570F59">
      <w:pPr>
        <w:ind w:left="555" w:right="75" w:hanging="555"/>
        <w:textAlignment w:val="baseline"/>
        <w:rPr>
          <w:rFonts w:ascii="Segoe UI" w:hAnsi="Segoe UI" w:cs="Segoe UI"/>
          <w:sz w:val="18"/>
          <w:szCs w:val="18"/>
          <w:lang w:eastAsia="en-GB"/>
        </w:rPr>
      </w:pPr>
      <w:r w:rsidRPr="00570F59">
        <w:rPr>
          <w:rFonts w:cs="Arial"/>
          <w:szCs w:val="24"/>
          <w:lang w:eastAsia="en-GB"/>
        </w:rPr>
        <w:t> </w:t>
      </w:r>
    </w:p>
    <w:p w14:paraId="44C5764F" w14:textId="7026BFBF" w:rsidR="00570F59" w:rsidRPr="00570F59" w:rsidRDefault="00570F59" w:rsidP="00570F59">
      <w:pPr>
        <w:ind w:right="75"/>
        <w:textAlignment w:val="baseline"/>
        <w:rPr>
          <w:rFonts w:ascii="Segoe UI" w:hAnsi="Segoe UI" w:cs="Segoe UI"/>
          <w:sz w:val="18"/>
          <w:szCs w:val="18"/>
          <w:lang w:eastAsia="en-GB"/>
        </w:rPr>
      </w:pPr>
      <w:r w:rsidRPr="00570F59">
        <w:rPr>
          <w:rFonts w:cs="Arial"/>
          <w:szCs w:val="24"/>
          <w:lang w:eastAsia="en-GB"/>
        </w:rPr>
        <w:t>The relevant risks contained in the register are attached/summarised below. </w:t>
      </w:r>
      <w:r w:rsidRPr="00570F59">
        <w:rPr>
          <w:rFonts w:cs="Arial"/>
          <w:b/>
          <w:bCs/>
          <w:szCs w:val="24"/>
          <w:lang w:val="en-US" w:eastAsia="en-GB"/>
        </w:rPr>
        <w:t>n/a</w:t>
      </w:r>
    </w:p>
    <w:p w14:paraId="44D33D1F" w14:textId="77777777" w:rsidR="00FD31A0" w:rsidRDefault="00FD31A0" w:rsidP="003D2FFE">
      <w:pPr>
        <w:pStyle w:val="Heading2"/>
        <w:keepNext/>
        <w:spacing w:after="240"/>
      </w:pPr>
      <w:r w:rsidRPr="004A2543">
        <w:lastRenderedPageBreak/>
        <w:t>Equalities implications</w:t>
      </w:r>
      <w:r w:rsidR="00213BE7">
        <w:t xml:space="preserve"> / Public Sector Equality Duty </w:t>
      </w:r>
    </w:p>
    <w:p w14:paraId="1ECE935D" w14:textId="77777777" w:rsidR="005063FB" w:rsidRDefault="005063FB" w:rsidP="00FD31A0">
      <w:r w:rsidRPr="005063FB">
        <w:t>Considering the Council’s Public Sector Equality Duties under the Equality Act 2010, s.149, is integral to the decision- making process.</w:t>
      </w:r>
    </w:p>
    <w:p w14:paraId="4B2C75CA" w14:textId="77777777" w:rsidR="005063FB" w:rsidRDefault="005063FB" w:rsidP="00FD31A0"/>
    <w:p w14:paraId="76DCB596" w14:textId="75F82190" w:rsidR="00FD31A0" w:rsidRPr="004A2543" w:rsidRDefault="00FD31A0" w:rsidP="00FD31A0">
      <w:r w:rsidRPr="004A2543">
        <w:t>Was an Equality Imp</w:t>
      </w:r>
      <w:r w:rsidR="00B90CD8">
        <w:t>act Assessment carried out?  No</w:t>
      </w:r>
    </w:p>
    <w:p w14:paraId="354F5D53" w14:textId="77777777" w:rsidR="00FD31A0" w:rsidRDefault="00FD31A0" w:rsidP="00FD31A0">
      <w:pPr>
        <w:ind w:right="141"/>
        <w:rPr>
          <w:rFonts w:cs="Arial"/>
          <w:szCs w:val="24"/>
          <w:lang w:val="en-US"/>
        </w:rPr>
      </w:pPr>
    </w:p>
    <w:p w14:paraId="69680960" w14:textId="4A269D6B" w:rsidR="00570F59" w:rsidRPr="00B90CD8" w:rsidRDefault="00B90CD8" w:rsidP="00B90CD8">
      <w:r w:rsidRPr="00B90CD8">
        <w:t>There are no direct equalities implications</w:t>
      </w:r>
      <w:r>
        <w:t>.</w:t>
      </w:r>
    </w:p>
    <w:p w14:paraId="11BF41CC" w14:textId="77777777" w:rsidR="002A2389" w:rsidRDefault="002A2389" w:rsidP="00912904">
      <w:pPr>
        <w:pStyle w:val="Heading2"/>
      </w:pPr>
      <w:r>
        <w:t>Section 3 - Statutory Officer Clearance</w:t>
      </w:r>
    </w:p>
    <w:p w14:paraId="4671DCF3" w14:textId="630D0E97" w:rsidR="00B90CD8" w:rsidRPr="00B90CD8" w:rsidRDefault="00B90CD8" w:rsidP="00B90CD8"/>
    <w:p w14:paraId="077143F8" w14:textId="77777777" w:rsidR="002A2389" w:rsidRDefault="002A2389" w:rsidP="008D1750">
      <w:pPr>
        <w:keepNext/>
        <w:rPr>
          <w:rFonts w:cs="Arial"/>
        </w:rPr>
      </w:pPr>
    </w:p>
    <w:p w14:paraId="1F493ADE" w14:textId="77777777" w:rsidR="00912904" w:rsidRPr="00A66326" w:rsidRDefault="00912904" w:rsidP="00912904">
      <w:pPr>
        <w:rPr>
          <w:sz w:val="28"/>
        </w:rPr>
      </w:pPr>
      <w:r w:rsidRPr="00A66326">
        <w:rPr>
          <w:b/>
          <w:sz w:val="28"/>
        </w:rPr>
        <w:t xml:space="preserve">Statutory Officer:  </w:t>
      </w:r>
    </w:p>
    <w:p w14:paraId="57640BD9" w14:textId="7C87A048" w:rsidR="00912904" w:rsidRPr="00A66326" w:rsidRDefault="000A0671" w:rsidP="00912904">
      <w:r>
        <w:t xml:space="preserve">Signed by the </w:t>
      </w:r>
      <w:r w:rsidR="005636A4">
        <w:t>Head of Strat &amp; Tech Finance (Deputy s151 Officer)</w:t>
      </w:r>
    </w:p>
    <w:p w14:paraId="34275C53" w14:textId="642670A4" w:rsidR="00912904" w:rsidRDefault="00912904" w:rsidP="00912904">
      <w:pPr>
        <w:ind w:left="360" w:hanging="360"/>
        <w:jc w:val="both"/>
        <w:rPr>
          <w:rFonts w:cs="Arial"/>
          <w:color w:val="FF0000"/>
        </w:rPr>
      </w:pPr>
    </w:p>
    <w:p w14:paraId="31BC2DD4" w14:textId="1F95CA83" w:rsidR="00761F84" w:rsidRPr="00761F84" w:rsidRDefault="005636A4" w:rsidP="00761F84">
      <w:r>
        <w:t>Sharon Daniels</w:t>
      </w:r>
    </w:p>
    <w:p w14:paraId="650DA37B" w14:textId="77777777" w:rsidR="00912904" w:rsidRPr="00A66326" w:rsidRDefault="00912904" w:rsidP="00912904">
      <w:pPr>
        <w:rPr>
          <w:sz w:val="28"/>
        </w:rPr>
      </w:pPr>
    </w:p>
    <w:p w14:paraId="5745A2E3" w14:textId="09E60361" w:rsidR="00912904" w:rsidRPr="00A66326" w:rsidRDefault="00912904" w:rsidP="00912904">
      <w:pPr>
        <w:spacing w:after="480"/>
        <w:rPr>
          <w:sz w:val="28"/>
        </w:rPr>
      </w:pPr>
      <w:r w:rsidRPr="00A66326">
        <w:rPr>
          <w:b/>
          <w:sz w:val="28"/>
        </w:rPr>
        <w:t xml:space="preserve">Date:  </w:t>
      </w:r>
      <w:r w:rsidR="00CE27D4" w:rsidRPr="008C31E0">
        <w:rPr>
          <w:bCs/>
          <w:sz w:val="28"/>
        </w:rPr>
        <w:t>1</w:t>
      </w:r>
      <w:r w:rsidR="008C31E0" w:rsidRPr="008C31E0">
        <w:rPr>
          <w:bCs/>
          <w:sz w:val="28"/>
        </w:rPr>
        <w:t>5</w:t>
      </w:r>
      <w:r w:rsidR="00485910">
        <w:rPr>
          <w:b/>
          <w:sz w:val="28"/>
        </w:rPr>
        <w:t xml:space="preserve"> </w:t>
      </w:r>
      <w:r w:rsidR="002A0812">
        <w:rPr>
          <w:sz w:val="28"/>
        </w:rPr>
        <w:t>September</w:t>
      </w:r>
      <w:r w:rsidR="00761F84" w:rsidRPr="00761F84">
        <w:rPr>
          <w:sz w:val="28"/>
        </w:rPr>
        <w:t xml:space="preserve"> 202</w:t>
      </w:r>
      <w:r w:rsidR="00485910">
        <w:rPr>
          <w:sz w:val="28"/>
        </w:rPr>
        <w:t>2</w:t>
      </w:r>
    </w:p>
    <w:p w14:paraId="2586CC50" w14:textId="77777777" w:rsidR="00912904" w:rsidRPr="00A66326" w:rsidRDefault="00912904" w:rsidP="00912904">
      <w:pPr>
        <w:rPr>
          <w:sz w:val="28"/>
        </w:rPr>
      </w:pPr>
      <w:r w:rsidRPr="00A66326">
        <w:rPr>
          <w:b/>
          <w:sz w:val="28"/>
        </w:rPr>
        <w:t xml:space="preserve">Statutory Officer:  </w:t>
      </w:r>
    </w:p>
    <w:p w14:paraId="3F58D77A" w14:textId="7CEF85B3" w:rsidR="00912904" w:rsidRDefault="00761F84" w:rsidP="00912904">
      <w:r>
        <w:t>Signed on behalf of</w:t>
      </w:r>
      <w:r w:rsidR="00912904" w:rsidRPr="00A66326">
        <w:t xml:space="preserve"> the Monitoring Officer</w:t>
      </w:r>
    </w:p>
    <w:p w14:paraId="3122B7EF" w14:textId="77777777" w:rsidR="00761F84" w:rsidRPr="00A66326" w:rsidRDefault="00761F84" w:rsidP="00912904"/>
    <w:p w14:paraId="4E4F48EC" w14:textId="1D7A49F0" w:rsidR="00912904" w:rsidRPr="00761F84" w:rsidRDefault="002F0A5E" w:rsidP="00761F84">
      <w:r>
        <w:t>Caroline Eccles</w:t>
      </w:r>
    </w:p>
    <w:p w14:paraId="52AD6B43" w14:textId="77777777" w:rsidR="00912904" w:rsidRPr="00A66326" w:rsidRDefault="00912904" w:rsidP="00912904">
      <w:pPr>
        <w:rPr>
          <w:sz w:val="28"/>
        </w:rPr>
      </w:pPr>
    </w:p>
    <w:p w14:paraId="61F8C7E6" w14:textId="081BADF8" w:rsidR="00912904" w:rsidRPr="003313EA" w:rsidRDefault="00912904" w:rsidP="00912904">
      <w:pPr>
        <w:spacing w:after="480"/>
        <w:rPr>
          <w:sz w:val="28"/>
        </w:rPr>
      </w:pPr>
      <w:r w:rsidRPr="00A66326">
        <w:rPr>
          <w:b/>
          <w:sz w:val="28"/>
        </w:rPr>
        <w:t xml:space="preserve">Date:  </w:t>
      </w:r>
      <w:r w:rsidR="00BB36B3">
        <w:rPr>
          <w:bCs/>
          <w:sz w:val="28"/>
        </w:rPr>
        <w:t>15</w:t>
      </w:r>
      <w:r w:rsidR="00761F84" w:rsidRPr="008C31E0">
        <w:rPr>
          <w:bCs/>
          <w:sz w:val="28"/>
        </w:rPr>
        <w:t xml:space="preserve"> </w:t>
      </w:r>
      <w:r w:rsidR="002A0812">
        <w:rPr>
          <w:sz w:val="28"/>
        </w:rPr>
        <w:t>September</w:t>
      </w:r>
      <w:r w:rsidR="00761F84" w:rsidRPr="00761F84">
        <w:rPr>
          <w:sz w:val="28"/>
        </w:rPr>
        <w:t xml:space="preserve"> 202</w:t>
      </w:r>
      <w:r w:rsidR="00485910">
        <w:rPr>
          <w:sz w:val="28"/>
        </w:rPr>
        <w:t>2</w:t>
      </w:r>
    </w:p>
    <w:p w14:paraId="2019A53D" w14:textId="39F56447" w:rsidR="00912904" w:rsidRPr="00A66326" w:rsidRDefault="004A4A1D" w:rsidP="00912904">
      <w:pPr>
        <w:rPr>
          <w:sz w:val="28"/>
        </w:rPr>
      </w:pPr>
      <w:r>
        <w:rPr>
          <w:b/>
          <w:sz w:val="28"/>
        </w:rPr>
        <w:t>Chief</w:t>
      </w:r>
      <w:r w:rsidR="00912904" w:rsidRPr="00A66326">
        <w:rPr>
          <w:b/>
          <w:sz w:val="28"/>
        </w:rPr>
        <w:t xml:space="preserve"> Officer:  </w:t>
      </w:r>
    </w:p>
    <w:p w14:paraId="12E4D11B" w14:textId="1B2D9E00" w:rsidR="00912904" w:rsidRDefault="00365D29" w:rsidP="00912904">
      <w:r>
        <w:t>Signed</w:t>
      </w:r>
      <w:r w:rsidR="00912904" w:rsidRPr="00A66326">
        <w:t xml:space="preserve"> by the </w:t>
      </w:r>
      <w:r w:rsidR="000A0671" w:rsidRPr="00A66326">
        <w:t>Chief Financial Officer</w:t>
      </w:r>
    </w:p>
    <w:p w14:paraId="69ECCC70" w14:textId="77777777" w:rsidR="008C44FF" w:rsidRDefault="008C44FF" w:rsidP="00912904"/>
    <w:p w14:paraId="31F659DC" w14:textId="0A10D42F" w:rsidR="008C44FF" w:rsidRPr="00A66326" w:rsidRDefault="000A0671" w:rsidP="00912904">
      <w:r>
        <w:t>Dawn Calvert</w:t>
      </w:r>
    </w:p>
    <w:p w14:paraId="6F36B845" w14:textId="77777777" w:rsidR="00912904" w:rsidRPr="00A66326" w:rsidRDefault="00912904" w:rsidP="00912904">
      <w:pPr>
        <w:rPr>
          <w:sz w:val="28"/>
        </w:rPr>
      </w:pPr>
    </w:p>
    <w:p w14:paraId="21482980" w14:textId="7E1278DB" w:rsidR="00912904" w:rsidRDefault="00912904" w:rsidP="00912904">
      <w:pPr>
        <w:spacing w:after="480"/>
        <w:rPr>
          <w:sz w:val="28"/>
        </w:rPr>
      </w:pPr>
      <w:r w:rsidRPr="00A66326">
        <w:rPr>
          <w:b/>
          <w:sz w:val="28"/>
        </w:rPr>
        <w:t xml:space="preserve">Date:  </w:t>
      </w:r>
      <w:r w:rsidR="00BB36B3">
        <w:rPr>
          <w:bCs/>
          <w:sz w:val="28"/>
        </w:rPr>
        <w:t>15</w:t>
      </w:r>
      <w:r w:rsidR="008C44FF" w:rsidRPr="008C44FF">
        <w:rPr>
          <w:sz w:val="28"/>
        </w:rPr>
        <w:t xml:space="preserve"> </w:t>
      </w:r>
      <w:r w:rsidR="002A0812">
        <w:rPr>
          <w:sz w:val="28"/>
        </w:rPr>
        <w:t>September</w:t>
      </w:r>
      <w:r w:rsidR="008C44FF" w:rsidRPr="008C44FF">
        <w:rPr>
          <w:sz w:val="28"/>
        </w:rPr>
        <w:t xml:space="preserve"> 202</w:t>
      </w:r>
      <w:r w:rsidR="00485910">
        <w:rPr>
          <w:sz w:val="28"/>
        </w:rPr>
        <w:t>2</w:t>
      </w:r>
    </w:p>
    <w:p w14:paraId="686CE5D8" w14:textId="77777777" w:rsidR="00912904" w:rsidRPr="00435B5D" w:rsidRDefault="00912904" w:rsidP="00912904">
      <w:pPr>
        <w:pStyle w:val="Heading2"/>
        <w:spacing w:after="240"/>
      </w:pPr>
      <w:r>
        <w:t>Mandatory Checks</w:t>
      </w:r>
    </w:p>
    <w:p w14:paraId="71FBC41D" w14:textId="1AC101E5" w:rsidR="00912904" w:rsidRPr="009E0147" w:rsidRDefault="00912904" w:rsidP="009E0147">
      <w:r w:rsidRPr="009E0147">
        <w:t>Wa</w:t>
      </w:r>
      <w:r w:rsidR="008C44FF" w:rsidRPr="009E0147">
        <w:t>rd Councillors notified:  NO</w:t>
      </w:r>
      <w:r w:rsidRPr="009E0147">
        <w:t xml:space="preserve">, as it impacts on all Wards </w:t>
      </w:r>
    </w:p>
    <w:p w14:paraId="629F8205" w14:textId="77777777" w:rsidR="002A2389" w:rsidRDefault="002A2389" w:rsidP="00912904">
      <w:pPr>
        <w:pStyle w:val="Heading2"/>
        <w:keepNext/>
        <w:spacing w:after="240"/>
      </w:pPr>
      <w:r>
        <w:t>Section 4 - Contact Details and Background Papers</w:t>
      </w:r>
    </w:p>
    <w:p w14:paraId="26BDB8CC" w14:textId="445000D8" w:rsidR="008E5DF8" w:rsidRDefault="002A2389" w:rsidP="009E0147">
      <w:r w:rsidRPr="009E0147">
        <w:rPr>
          <w:b/>
        </w:rPr>
        <w:t>Contact:</w:t>
      </w:r>
      <w:r>
        <w:t xml:space="preserve">  </w:t>
      </w:r>
      <w:r w:rsidR="00485910">
        <w:t xml:space="preserve">Yinka Ehinfun </w:t>
      </w:r>
      <w:r w:rsidR="008C44FF" w:rsidRPr="008C44FF">
        <w:t>(</w:t>
      </w:r>
      <w:r w:rsidR="00485910">
        <w:t>Chief Accountant</w:t>
      </w:r>
      <w:r w:rsidR="008E5DF8">
        <w:t>)</w:t>
      </w:r>
    </w:p>
    <w:p w14:paraId="1C4BF2D4" w14:textId="4BCE1B3A" w:rsidR="002A2389" w:rsidRDefault="008C44FF" w:rsidP="009E0147">
      <w:r w:rsidRPr="008C44FF">
        <w:t xml:space="preserve">Email: </w:t>
      </w:r>
      <w:r w:rsidR="00485910">
        <w:t>Yinka.ehinfun</w:t>
      </w:r>
      <w:r w:rsidRPr="008C44FF">
        <w:t>@harrow.gov.uk</w:t>
      </w:r>
    </w:p>
    <w:p w14:paraId="52D66DFF" w14:textId="6B545934" w:rsidR="009E0147" w:rsidRDefault="002A2389" w:rsidP="009E0147">
      <w:pPr>
        <w:pStyle w:val="Infotext"/>
        <w:spacing w:before="360" w:after="120"/>
      </w:pPr>
      <w:r w:rsidRPr="00D914D2">
        <w:rPr>
          <w:b/>
        </w:rPr>
        <w:lastRenderedPageBreak/>
        <w:t>Background Papers</w:t>
      </w:r>
      <w:r w:rsidR="00BE7892">
        <w:t>:</w:t>
      </w:r>
    </w:p>
    <w:p w14:paraId="1DEEFD54" w14:textId="1542DF19" w:rsidR="005B702C" w:rsidRPr="005B702C" w:rsidRDefault="005B702C" w:rsidP="009E0147">
      <w:pPr>
        <w:pStyle w:val="Infotext"/>
        <w:spacing w:before="360" w:after="120"/>
        <w:rPr>
          <w:sz w:val="24"/>
          <w:szCs w:val="24"/>
        </w:rPr>
      </w:pPr>
      <w:r w:rsidRPr="005B702C">
        <w:rPr>
          <w:sz w:val="24"/>
          <w:szCs w:val="24"/>
        </w:rPr>
        <w:t>None</w:t>
      </w:r>
    </w:p>
    <w:p w14:paraId="6D64D64B" w14:textId="144960B1" w:rsidR="002A2389" w:rsidRPr="002A0812" w:rsidRDefault="002A2389" w:rsidP="002A0812">
      <w:pPr>
        <w:spacing w:before="360" w:after="240"/>
      </w:pPr>
      <w:r w:rsidRPr="002A0812">
        <w:t xml:space="preserve">If appropriate, does the report include the following considerations? </w:t>
      </w:r>
    </w:p>
    <w:p w14:paraId="507DF23B" w14:textId="7CD83BDD" w:rsidR="00912904" w:rsidRPr="009E0147" w:rsidRDefault="009E0147" w:rsidP="009E0147">
      <w:pPr>
        <w:spacing w:after="120"/>
        <w:ind w:left="360"/>
      </w:pPr>
      <w:r>
        <w:t>1</w:t>
      </w:r>
      <w:r w:rsidR="00BE7892" w:rsidRPr="009E0147">
        <w:tab/>
        <w:t xml:space="preserve">Consultation </w:t>
      </w:r>
      <w:r w:rsidR="00BE7892" w:rsidRPr="009E0147">
        <w:tab/>
      </w:r>
      <w:r w:rsidRPr="009E0147">
        <w:tab/>
      </w:r>
      <w:r w:rsidRPr="009E0147">
        <w:tab/>
      </w:r>
      <w:r w:rsidRPr="009E0147">
        <w:tab/>
      </w:r>
      <w:r>
        <w:t>No</w:t>
      </w:r>
    </w:p>
    <w:p w14:paraId="0AC2AC5C" w14:textId="1C88C843" w:rsidR="00912904" w:rsidRPr="009E0147" w:rsidRDefault="009E0147" w:rsidP="009E0147">
      <w:pPr>
        <w:spacing w:after="120"/>
        <w:ind w:left="360"/>
      </w:pPr>
      <w:r>
        <w:t>2</w:t>
      </w:r>
      <w:r w:rsidR="00BE7892" w:rsidRPr="009E0147">
        <w:tab/>
        <w:t>Priorities</w:t>
      </w:r>
      <w:r w:rsidR="00BE7892" w:rsidRPr="009E0147">
        <w:tab/>
      </w:r>
      <w:r w:rsidRPr="009E0147">
        <w:tab/>
      </w:r>
      <w:r w:rsidRPr="009E0147">
        <w:tab/>
      </w:r>
      <w:r w:rsidRPr="009E0147">
        <w:tab/>
      </w:r>
      <w:r>
        <w:t>No</w:t>
      </w:r>
      <w:r w:rsidR="00912904" w:rsidRPr="009E0147">
        <w:t xml:space="preserve">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2BEC" w14:textId="77777777" w:rsidR="009B0D8B" w:rsidRDefault="009B0D8B">
      <w:r>
        <w:separator/>
      </w:r>
    </w:p>
  </w:endnote>
  <w:endnote w:type="continuationSeparator" w:id="0">
    <w:p w14:paraId="5A75B332" w14:textId="77777777" w:rsidR="009B0D8B" w:rsidRDefault="009B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E0D5" w14:textId="77777777" w:rsidR="009B0D8B" w:rsidRDefault="009B0D8B">
      <w:r>
        <w:separator/>
      </w:r>
    </w:p>
  </w:footnote>
  <w:footnote w:type="continuationSeparator" w:id="0">
    <w:p w14:paraId="536C81A8" w14:textId="77777777" w:rsidR="009B0D8B" w:rsidRDefault="009B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E1867"/>
    <w:multiLevelType w:val="hybridMultilevel"/>
    <w:tmpl w:val="B5E827D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5116"/>
    <w:multiLevelType w:val="hybridMultilevel"/>
    <w:tmpl w:val="8BE8C3DE"/>
    <w:lvl w:ilvl="0" w:tplc="3F8C50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745EDD"/>
    <w:multiLevelType w:val="hybridMultilevel"/>
    <w:tmpl w:val="42B2366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1D269E"/>
    <w:multiLevelType w:val="hybridMultilevel"/>
    <w:tmpl w:val="051C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26D1A49"/>
    <w:multiLevelType w:val="hybridMultilevel"/>
    <w:tmpl w:val="2EAE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E040E"/>
    <w:multiLevelType w:val="hybridMultilevel"/>
    <w:tmpl w:val="97E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D5256"/>
    <w:multiLevelType w:val="hybridMultilevel"/>
    <w:tmpl w:val="39B429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E37FA9"/>
    <w:multiLevelType w:val="hybridMultilevel"/>
    <w:tmpl w:val="7D1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FA4F24"/>
    <w:multiLevelType w:val="hybridMultilevel"/>
    <w:tmpl w:val="BD526E5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2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5"/>
  </w:num>
  <w:num w:numId="9">
    <w:abstractNumId w:val="3"/>
  </w:num>
  <w:num w:numId="10">
    <w:abstractNumId w:val="20"/>
  </w:num>
  <w:num w:numId="11">
    <w:abstractNumId w:val="25"/>
  </w:num>
  <w:num w:numId="12">
    <w:abstractNumId w:val="17"/>
  </w:num>
  <w:num w:numId="13">
    <w:abstractNumId w:val="2"/>
  </w:num>
  <w:num w:numId="14">
    <w:abstractNumId w:val="6"/>
  </w:num>
  <w:num w:numId="15">
    <w:abstractNumId w:val="14"/>
  </w:num>
  <w:num w:numId="16">
    <w:abstractNumId w:val="13"/>
  </w:num>
  <w:num w:numId="17">
    <w:abstractNumId w:val="24"/>
  </w:num>
  <w:num w:numId="18">
    <w:abstractNumId w:val="10"/>
  </w:num>
  <w:num w:numId="19">
    <w:abstractNumId w:val="12"/>
  </w:num>
  <w:num w:numId="20">
    <w:abstractNumId w:val="0"/>
  </w:num>
  <w:num w:numId="21">
    <w:abstractNumId w:val="19"/>
  </w:num>
  <w:num w:numId="22">
    <w:abstractNumId w:val="16"/>
  </w:num>
  <w:num w:numId="23">
    <w:abstractNumId w:val="7"/>
  </w:num>
  <w:num w:numId="24">
    <w:abstractNumId w:val="23"/>
  </w:num>
  <w:num w:numId="25">
    <w:abstractNumId w:val="9"/>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23F4C"/>
    <w:rsid w:val="00057F10"/>
    <w:rsid w:val="000633A2"/>
    <w:rsid w:val="00071EB4"/>
    <w:rsid w:val="00077298"/>
    <w:rsid w:val="000A0671"/>
    <w:rsid w:val="000A58A1"/>
    <w:rsid w:val="000A6659"/>
    <w:rsid w:val="000B0E6F"/>
    <w:rsid w:val="000B6DBB"/>
    <w:rsid w:val="000D2BF2"/>
    <w:rsid w:val="000D5870"/>
    <w:rsid w:val="000E14F4"/>
    <w:rsid w:val="000F65C0"/>
    <w:rsid w:val="001074BD"/>
    <w:rsid w:val="00163EEA"/>
    <w:rsid w:val="001939BA"/>
    <w:rsid w:val="001A6EB0"/>
    <w:rsid w:val="001B441D"/>
    <w:rsid w:val="001B452F"/>
    <w:rsid w:val="001C2750"/>
    <w:rsid w:val="001C5225"/>
    <w:rsid w:val="001E0219"/>
    <w:rsid w:val="00213BE7"/>
    <w:rsid w:val="0022626C"/>
    <w:rsid w:val="00231A1D"/>
    <w:rsid w:val="00244120"/>
    <w:rsid w:val="00293F9F"/>
    <w:rsid w:val="002A0812"/>
    <w:rsid w:val="002A2389"/>
    <w:rsid w:val="002B0471"/>
    <w:rsid w:val="002C08E2"/>
    <w:rsid w:val="002C1794"/>
    <w:rsid w:val="002D2FC5"/>
    <w:rsid w:val="002E6637"/>
    <w:rsid w:val="002E77E3"/>
    <w:rsid w:val="002F0A5E"/>
    <w:rsid w:val="00332947"/>
    <w:rsid w:val="00333EB4"/>
    <w:rsid w:val="00342F25"/>
    <w:rsid w:val="00345915"/>
    <w:rsid w:val="00365D29"/>
    <w:rsid w:val="00374F22"/>
    <w:rsid w:val="00384ACC"/>
    <w:rsid w:val="00397EA1"/>
    <w:rsid w:val="003D2FFE"/>
    <w:rsid w:val="003D4EB4"/>
    <w:rsid w:val="00400032"/>
    <w:rsid w:val="00402658"/>
    <w:rsid w:val="00406475"/>
    <w:rsid w:val="0042394B"/>
    <w:rsid w:val="00473B08"/>
    <w:rsid w:val="00474B5F"/>
    <w:rsid w:val="0048404F"/>
    <w:rsid w:val="00485910"/>
    <w:rsid w:val="004A3CE6"/>
    <w:rsid w:val="004A4A1D"/>
    <w:rsid w:val="004B2C9D"/>
    <w:rsid w:val="004B4A47"/>
    <w:rsid w:val="004C6683"/>
    <w:rsid w:val="004E667D"/>
    <w:rsid w:val="004E6AF9"/>
    <w:rsid w:val="005031DF"/>
    <w:rsid w:val="005063FB"/>
    <w:rsid w:val="005636A4"/>
    <w:rsid w:val="00570F59"/>
    <w:rsid w:val="0059644A"/>
    <w:rsid w:val="00597314"/>
    <w:rsid w:val="005A61AF"/>
    <w:rsid w:val="005B702C"/>
    <w:rsid w:val="005D0886"/>
    <w:rsid w:val="005D358F"/>
    <w:rsid w:val="005E384D"/>
    <w:rsid w:val="005F2181"/>
    <w:rsid w:val="005F724B"/>
    <w:rsid w:val="006123B2"/>
    <w:rsid w:val="00625DFF"/>
    <w:rsid w:val="0063072B"/>
    <w:rsid w:val="0064512D"/>
    <w:rsid w:val="00662891"/>
    <w:rsid w:val="006628B7"/>
    <w:rsid w:val="00675FCB"/>
    <w:rsid w:val="006945E1"/>
    <w:rsid w:val="006A0B87"/>
    <w:rsid w:val="006B3942"/>
    <w:rsid w:val="006C3914"/>
    <w:rsid w:val="006D3648"/>
    <w:rsid w:val="00716A76"/>
    <w:rsid w:val="0074184E"/>
    <w:rsid w:val="00743829"/>
    <w:rsid w:val="00755F8D"/>
    <w:rsid w:val="00761F84"/>
    <w:rsid w:val="00796503"/>
    <w:rsid w:val="007D2BDA"/>
    <w:rsid w:val="007D56C8"/>
    <w:rsid w:val="007E3934"/>
    <w:rsid w:val="007E7303"/>
    <w:rsid w:val="00802F97"/>
    <w:rsid w:val="008212A0"/>
    <w:rsid w:val="00837F53"/>
    <w:rsid w:val="00876453"/>
    <w:rsid w:val="008C31E0"/>
    <w:rsid w:val="008C44FF"/>
    <w:rsid w:val="008D1750"/>
    <w:rsid w:val="008D7800"/>
    <w:rsid w:val="008E2910"/>
    <w:rsid w:val="008E4913"/>
    <w:rsid w:val="008E5DF8"/>
    <w:rsid w:val="008F5984"/>
    <w:rsid w:val="00900464"/>
    <w:rsid w:val="0090100E"/>
    <w:rsid w:val="00912904"/>
    <w:rsid w:val="0093767E"/>
    <w:rsid w:val="00972A02"/>
    <w:rsid w:val="0098094C"/>
    <w:rsid w:val="0099517C"/>
    <w:rsid w:val="009A0937"/>
    <w:rsid w:val="009B0D8B"/>
    <w:rsid w:val="009B2ECD"/>
    <w:rsid w:val="009B7914"/>
    <w:rsid w:val="009E0147"/>
    <w:rsid w:val="009F430B"/>
    <w:rsid w:val="00A160B2"/>
    <w:rsid w:val="00A566E7"/>
    <w:rsid w:val="00A940D3"/>
    <w:rsid w:val="00A96FCA"/>
    <w:rsid w:val="00AA4BE8"/>
    <w:rsid w:val="00AC0AAB"/>
    <w:rsid w:val="00AC7BA9"/>
    <w:rsid w:val="00B0425E"/>
    <w:rsid w:val="00B900E2"/>
    <w:rsid w:val="00B90CD8"/>
    <w:rsid w:val="00B9118E"/>
    <w:rsid w:val="00B94678"/>
    <w:rsid w:val="00BA35EA"/>
    <w:rsid w:val="00BB36B3"/>
    <w:rsid w:val="00BC426E"/>
    <w:rsid w:val="00BC5425"/>
    <w:rsid w:val="00BD6115"/>
    <w:rsid w:val="00BD684A"/>
    <w:rsid w:val="00BE7892"/>
    <w:rsid w:val="00C32DAE"/>
    <w:rsid w:val="00C40E24"/>
    <w:rsid w:val="00C61B80"/>
    <w:rsid w:val="00C6233A"/>
    <w:rsid w:val="00C92D9A"/>
    <w:rsid w:val="00C96EF5"/>
    <w:rsid w:val="00CE27D4"/>
    <w:rsid w:val="00D25064"/>
    <w:rsid w:val="00D32B51"/>
    <w:rsid w:val="00D34668"/>
    <w:rsid w:val="00D3740E"/>
    <w:rsid w:val="00D40335"/>
    <w:rsid w:val="00D7585A"/>
    <w:rsid w:val="00D82F57"/>
    <w:rsid w:val="00D841A5"/>
    <w:rsid w:val="00D914D2"/>
    <w:rsid w:val="00DA25DB"/>
    <w:rsid w:val="00DB0791"/>
    <w:rsid w:val="00DD0388"/>
    <w:rsid w:val="00DD4251"/>
    <w:rsid w:val="00E02B50"/>
    <w:rsid w:val="00E03F11"/>
    <w:rsid w:val="00E06DC8"/>
    <w:rsid w:val="00E1248A"/>
    <w:rsid w:val="00E20BE7"/>
    <w:rsid w:val="00E220B5"/>
    <w:rsid w:val="00E33D93"/>
    <w:rsid w:val="00E609EF"/>
    <w:rsid w:val="00E8515B"/>
    <w:rsid w:val="00E90AFF"/>
    <w:rsid w:val="00EF2F91"/>
    <w:rsid w:val="00F33EE3"/>
    <w:rsid w:val="00F4213B"/>
    <w:rsid w:val="00F51909"/>
    <w:rsid w:val="00F849ED"/>
    <w:rsid w:val="00F87A25"/>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CAA0D245-D16C-4370-9E19-F2C81163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link w:val="Heading2Char"/>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customStyle="1" w:styleId="UnresolvedMention1">
    <w:name w:val="Unresolved Mention1"/>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character" w:customStyle="1" w:styleId="Heading2Char">
    <w:name w:val="Heading 2 Char"/>
    <w:basedOn w:val="DefaultParagraphFont"/>
    <w:link w:val="Heading2"/>
    <w:rsid w:val="00384ACC"/>
    <w:rPr>
      <w:rFonts w:ascii="Arial Black" w:hAnsi="Arial Black" w:cs="Arial"/>
      <w:bCs/>
      <w:sz w:val="32"/>
      <w:szCs w:val="32"/>
      <w:lang w:eastAsia="en-US"/>
    </w:rPr>
  </w:style>
  <w:style w:type="paragraph" w:styleId="BodyText3">
    <w:name w:val="Body Text 3"/>
    <w:basedOn w:val="Normal"/>
    <w:link w:val="BodyText3Char"/>
    <w:rsid w:val="00384ACC"/>
    <w:pPr>
      <w:spacing w:after="120"/>
    </w:pPr>
    <w:rPr>
      <w:sz w:val="16"/>
      <w:szCs w:val="16"/>
    </w:rPr>
  </w:style>
  <w:style w:type="character" w:customStyle="1" w:styleId="BodyText3Char">
    <w:name w:val="Body Text 3 Char"/>
    <w:basedOn w:val="DefaultParagraphFont"/>
    <w:link w:val="BodyText3"/>
    <w:rsid w:val="00384ACC"/>
    <w:rPr>
      <w:rFonts w:ascii="Arial" w:hAnsi="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714</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4792</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14</cp:revision>
  <cp:lastPrinted>2007-07-12T09:53:00Z</cp:lastPrinted>
  <dcterms:created xsi:type="dcterms:W3CDTF">2022-09-15T11:18:00Z</dcterms:created>
  <dcterms:modified xsi:type="dcterms:W3CDTF">2022-09-16T10:47:00Z</dcterms:modified>
</cp:coreProperties>
</file>